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93C" w:rsidRPr="000B29E3" w:rsidRDefault="00B0493C" w:rsidP="00B0493C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5E65A87B" wp14:editId="7CFD638D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1FE11581" wp14:editId="1902C451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93C" w:rsidRPr="000B29E3" w:rsidRDefault="00B0493C" w:rsidP="00B0493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1A3211B9" wp14:editId="0DDEA5D3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B0493C" w:rsidRDefault="00B0493C" w:rsidP="00B0493C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B0493C" w:rsidRPr="000B29E3" w:rsidRDefault="00B0493C" w:rsidP="00B0493C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B0493C" w:rsidRPr="006033C3" w:rsidRDefault="00B0493C" w:rsidP="00B0493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B0493C" w:rsidRPr="006033C3" w:rsidRDefault="00B0493C" w:rsidP="00B0493C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0493C" w:rsidRPr="00311563" w:rsidTr="0034037F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0493C" w:rsidRPr="00311563" w:rsidRDefault="00B0493C" w:rsidP="00340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B0493C" w:rsidRPr="00311563" w:rsidTr="0034037F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B0493C" w:rsidRPr="00311563" w:rsidRDefault="00B0493C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ORIENTACION EDUCATIVA  I</w:t>
            </w:r>
            <w:r w:rsidR="004E2F91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</w:tr>
      <w:tr w:rsidR="00B0493C" w:rsidRPr="00311563" w:rsidTr="0034037F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3C" w:rsidRDefault="00B0493C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4C6E52" w:rsidRDefault="004C6E52"/>
    <w:p w:rsidR="00B0493C" w:rsidRPr="00B0493C" w:rsidRDefault="00B0493C" w:rsidP="00B0493C">
      <w:pPr>
        <w:jc w:val="both"/>
        <w:rPr>
          <w:rFonts w:ascii="Arial" w:hAnsi="Arial" w:cs="Arial"/>
          <w:sz w:val="18"/>
          <w:szCs w:val="18"/>
        </w:rPr>
      </w:pPr>
      <w:r w:rsidRPr="00B0493C">
        <w:rPr>
          <w:rFonts w:ascii="Arial" w:hAnsi="Arial" w:cs="Arial"/>
          <w:b/>
          <w:sz w:val="20"/>
          <w:szCs w:val="20"/>
        </w:rPr>
        <w:t>INSTRUCCIONES</w:t>
      </w:r>
      <w:r w:rsidRPr="00B0493C">
        <w:rPr>
          <w:rFonts w:ascii="Arial" w:hAnsi="Arial" w:cs="Arial"/>
          <w:b/>
          <w:sz w:val="18"/>
          <w:szCs w:val="18"/>
        </w:rPr>
        <w:t>:</w:t>
      </w:r>
      <w:r w:rsidRPr="00B0493C">
        <w:rPr>
          <w:rFonts w:ascii="Arial" w:hAnsi="Arial" w:cs="Arial"/>
          <w:sz w:val="18"/>
          <w:szCs w:val="18"/>
        </w:rPr>
        <w:t xml:space="preserve"> CONSIDERANDO EL LIBRO DE TEXTO, RESPONDA A CADA UNA DE LAS PREGUNTAS DE ESTA GUIA.</w:t>
      </w:r>
    </w:p>
    <w:p w:rsidR="00B0493C" w:rsidRPr="00B35D27" w:rsidRDefault="00B0493C" w:rsidP="00B0493C">
      <w:pPr>
        <w:rPr>
          <w:rFonts w:ascii="Arial" w:hAnsi="Arial" w:cs="Arial"/>
          <w:b/>
        </w:rPr>
      </w:pPr>
      <w:r w:rsidRPr="00B35D27">
        <w:rPr>
          <w:rFonts w:ascii="Arial" w:hAnsi="Arial" w:cs="Arial"/>
          <w:b/>
        </w:rPr>
        <w:t>BLOQUE  I</w:t>
      </w:r>
      <w:r>
        <w:rPr>
          <w:rFonts w:ascii="Arial" w:hAnsi="Arial" w:cs="Arial"/>
          <w:b/>
        </w:rPr>
        <w:t>: AUTOCONCEPTO Y AUTOESTIMA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que es el auto concepto  y que es  un individuo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¿Para qué sirve la ventana de Johari?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adolescencia y que la caracteriza?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estudiar, que es el éxito escolar y que el fracaso escolar?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el cuerpo humano (considerar el aspecto anatómico y fisiológico)?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imagen corporal?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lo más importante valorar: la apariencia o la esencia de un ser humano, y porque?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 auto-aceptación?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relación hay entre el autoconocimiento y la auto aceptación?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personalidad, que elementos la componen (definir cada uno de ellos)?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depresión, y que la depresión crónica?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Según branden ¿qué es la  autoestima, y que la baja autoestima?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Según branden ¿cómo se logra una sana autoestima (describa cada uno de los seis pilares)?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amar, y que el amor a la vida, respectivamente?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¿Cómo se aprender e amar?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¿Cómo se relaciona el amor propio con el amor a los demás?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asertividad?</w:t>
      </w:r>
    </w:p>
    <w:p w:rsidR="00B0493C" w:rsidRDefault="00B0493C" w:rsidP="00B049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¿Que caracteriza al miedo y que al pánico?</w:t>
      </w:r>
    </w:p>
    <w:p w:rsidR="00B0493C" w:rsidRDefault="00B0493C" w:rsidP="00B0493C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noProof/>
          <w:lang w:eastAsia="es-MX"/>
        </w:rPr>
        <w:drawing>
          <wp:inline distT="0" distB="0" distL="0" distR="0" wp14:anchorId="1EA7F58D" wp14:editId="2C83E43D">
            <wp:extent cx="3083442" cy="2169042"/>
            <wp:effectExtent l="0" t="0" r="3175" b="3175"/>
            <wp:docPr id="2" name="Imagen 2" descr="ilustración de dibujos animados de los jóvenes en la moda del inconformista Foto de archivo - 42149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ustración de dibujos animados de los jóvenes en la moda del inconformista Foto de archivo - 4214995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485" cy="216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3C" w:rsidRDefault="00B0493C" w:rsidP="00B0493C">
      <w:pPr>
        <w:pStyle w:val="Prrafodelista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pStyle w:val="Prrafodelista"/>
        <w:jc w:val="center"/>
        <w:rPr>
          <w:rFonts w:ascii="Arial" w:hAnsi="Arial" w:cs="Arial"/>
          <w:b/>
          <w:sz w:val="20"/>
          <w:szCs w:val="20"/>
        </w:rPr>
      </w:pPr>
    </w:p>
    <w:p w:rsidR="00B0493C" w:rsidRPr="00B0493C" w:rsidRDefault="00B0493C" w:rsidP="00B0493C">
      <w:pPr>
        <w:rPr>
          <w:rFonts w:ascii="Arial" w:eastAsia="Dotum" w:hAnsi="Arial" w:cs="Arial"/>
          <w:b/>
          <w:sz w:val="20"/>
          <w:szCs w:val="20"/>
        </w:rPr>
      </w:pPr>
      <w:r w:rsidRPr="00B0493C">
        <w:rPr>
          <w:rFonts w:ascii="Arial" w:hAnsi="Arial" w:cs="Arial"/>
          <w:b/>
          <w:sz w:val="20"/>
          <w:szCs w:val="20"/>
        </w:rPr>
        <w:lastRenderedPageBreak/>
        <w:t xml:space="preserve">BLOQUE II: </w:t>
      </w:r>
      <w:r w:rsidRPr="00B0493C">
        <w:rPr>
          <w:rFonts w:ascii="Arial" w:eastAsia="Dotum" w:hAnsi="Arial" w:cs="Arial"/>
          <w:b/>
          <w:sz w:val="20"/>
          <w:szCs w:val="20"/>
        </w:rPr>
        <w:t>SEXUALIDAD Y TRASTORNOS ALIMENTICIOS</w:t>
      </w:r>
    </w:p>
    <w:p w:rsidR="00B0493C" w:rsidRPr="00BB4944" w:rsidRDefault="00B0493C" w:rsidP="00B0493C">
      <w:pPr>
        <w:pStyle w:val="Prrafodelista"/>
        <w:jc w:val="center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se entiende por: sexo, genero, relación sexual, identidad sexual, sexualidad y enamoramiento (defina cada uno de ellos)?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reproducción humana (concepción), y que la anticoncepción?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planificación familiar?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son los métodos anticonceptivos, defina  algunos, sus ventajas, desventajas y porcentajes de eficacia?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significan las siglas  ETS?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¿Por qué las  ETS, se consideran una ruleta rusa?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el nombre, causas, síntomas, consecuencias, tratamiento, medios de transmisión, conductas de riesgo para contraerlas, curación o no, de por lo menos 6 ETS?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un trastorno alimenticio y como se produce?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y describa: características, detección, causas y consecuencias de los siguientes trastornos alimenticios: síndrome de atracción, anorexia nerviosa, bulimia, vigorexia y megarexia.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¿Cómo se evitaría un trastorno alimenticio?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Explique a que se refiere la frase de decimo junio juvenal: “mente sana en cuerpo sano”</w:t>
      </w:r>
    </w:p>
    <w:p w:rsidR="00B0493C" w:rsidRDefault="00B0493C" w:rsidP="00B049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Menciona algunas alternativas de apoyo a un amigo, conocido o familiar que tenga trastornos alimenticios.</w:t>
      </w:r>
    </w:p>
    <w:p w:rsidR="00B0493C" w:rsidRPr="00BB4944" w:rsidRDefault="00B0493C" w:rsidP="00B0493C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inline distT="0" distB="0" distL="0" distR="0" wp14:anchorId="5AD7C39D" wp14:editId="22783481">
            <wp:extent cx="2881423" cy="2679403"/>
            <wp:effectExtent l="0" t="0" r="0" b="6985"/>
            <wp:docPr id="6" name="Imagen 6" descr="Ilustración de una hermosa mujer embarazada Foto de archivo - 41619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lustración de una hermosa mujer embarazada Foto de archivo - 416194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464" cy="267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788303DD" wp14:editId="55382EA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08885" cy="2764155"/>
            <wp:effectExtent l="0" t="0" r="5715" b="0"/>
            <wp:wrapSquare wrapText="bothSides"/>
            <wp:docPr id="4" name="Imagen 4" descr="muchacha deportiva de dibujos animados con pesas y variedad de frutas saludables Foto de archivo - 42028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chacha deportiva de dibujos animados con pesas y variedad de frutas saludables Foto de archivo - 4202899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276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br w:type="textWrapping" w:clear="all"/>
      </w:r>
    </w:p>
    <w:p w:rsidR="00B0493C" w:rsidRPr="001D6F32" w:rsidRDefault="00B0493C" w:rsidP="00B0493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B0493C" w:rsidRDefault="00B0493C" w:rsidP="004E2F91">
      <w:pPr>
        <w:pStyle w:val="Sinespaciado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 III</w:t>
      </w:r>
      <w:r>
        <w:rPr>
          <w:rFonts w:ascii="Arial" w:hAnsi="Arial" w:cs="Arial"/>
          <w:b/>
          <w:sz w:val="20"/>
          <w:szCs w:val="20"/>
        </w:rPr>
        <w:t>:</w:t>
      </w:r>
      <w:r w:rsidRPr="00B35D27">
        <w:rPr>
          <w:rFonts w:ascii="Arial" w:eastAsia="Dotum" w:hAnsi="Arial" w:cs="Arial"/>
          <w:b/>
          <w:sz w:val="20"/>
          <w:szCs w:val="20"/>
        </w:rPr>
        <w:t xml:space="preserve"> </w:t>
      </w:r>
      <w:r>
        <w:rPr>
          <w:rFonts w:ascii="Arial" w:eastAsia="Dotum" w:hAnsi="Arial" w:cs="Arial"/>
          <w:b/>
          <w:sz w:val="20"/>
          <w:szCs w:val="20"/>
        </w:rPr>
        <w:t>ADICCIONES Y RESILIENCIA</w:t>
      </w:r>
    </w:p>
    <w:p w:rsidR="00B0493C" w:rsidRPr="00B35D27" w:rsidRDefault="00B0493C" w:rsidP="00B0493C">
      <w:pPr>
        <w:rPr>
          <w:rFonts w:ascii="Arial" w:hAnsi="Arial" w:cs="Arial"/>
          <w:b/>
          <w:sz w:val="20"/>
          <w:szCs w:val="20"/>
        </w:rPr>
      </w:pP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una droga?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los siguientes términos: tolerancia, dependencia  (física y psicológica, respectivamente) relacionados con el consumo de drogas.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una adicción, y que es un adicto?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Mencione algunos de los síntomas que se presentan, al pasar los efectos placenteros que produce una sustancia?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Explica  a qué se refiere la frase: “sensaciones aparentemente placenteras”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¿Cuál es la diferencia entre una droga legal y una ilegal? y mencione ejemplos de cada una de ellas.</w:t>
      </w:r>
    </w:p>
    <w:p w:rsidR="00B0493C" w:rsidRDefault="00B0493C" w:rsidP="00B0493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Menciona los efectos inmediatos,  daños a   largo plazo, así como los riesgos de las siguientes sustancias adictivas: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64384" behindDoc="0" locked="0" layoutInCell="1" allowOverlap="1" wp14:anchorId="0D3A8311" wp14:editId="18C2D3E2">
            <wp:simplePos x="0" y="0"/>
            <wp:positionH relativeFrom="margin">
              <wp:posOffset>3289300</wp:posOffset>
            </wp:positionH>
            <wp:positionV relativeFrom="margin">
              <wp:posOffset>886460</wp:posOffset>
            </wp:positionV>
            <wp:extent cx="2125980" cy="1318260"/>
            <wp:effectExtent l="0" t="0" r="7620" b="0"/>
            <wp:wrapSquare wrapText="bothSides"/>
            <wp:docPr id="1" name="Imagen 1" descr="C:\Users\Blanca\Pictures\CHICAS BEBIE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nca\Pictures\CHICAS BEBIEND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tabaco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alcohol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mariguana                                         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cocaína y crack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anfetaminas y metanfetaminas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drogas de uso medico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heroína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alucinógenos</w:t>
      </w:r>
    </w:p>
    <w:p w:rsidR="00B0493C" w:rsidRDefault="00B0493C" w:rsidP="00B0493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inhalantes.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¿En qué consiste un  plan de intervención para ayudar a una persona adicta?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Menciona las 6 etapas de un plan de intervención para ayudar a una persona adicta.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resiliencia y que es un resiliente?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65408" behindDoc="0" locked="0" layoutInCell="1" allowOverlap="1" wp14:anchorId="581E72D9" wp14:editId="2328D38A">
            <wp:simplePos x="0" y="0"/>
            <wp:positionH relativeFrom="margin">
              <wp:posOffset>3576320</wp:posOffset>
            </wp:positionH>
            <wp:positionV relativeFrom="margin">
              <wp:posOffset>3034030</wp:posOffset>
            </wp:positionV>
            <wp:extent cx="1903095" cy="1435100"/>
            <wp:effectExtent l="0" t="0" r="1905" b="0"/>
            <wp:wrapSquare wrapText="bothSides"/>
            <wp:docPr id="3" name="Imagen 3" descr="C:\Users\Blanca\Pictures\CHICOS PLATICA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anca\Pictures\CHICOS PLATICAND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¿Cómo se aprende a ser un resiliente?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 logoterapia?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Mencione y explique los 4 pilares de la resiliencia      </w:t>
      </w: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t xml:space="preserve">       </w:t>
      </w: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</w:p>
    <w:p w:rsidR="00B0493C" w:rsidRPr="00BB4944" w:rsidRDefault="00B0493C" w:rsidP="00B0493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ASPECTO COMPLEMENTARIO.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la trascendencia humana  y como se relaciona con un estilo de vida ejemplar?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¿Cuál es la actitud que debe adoptar un ser humano ante lo inesperado?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el Bull ying, sus características y tipos?</w:t>
      </w:r>
    </w:p>
    <w:p w:rsidR="00B0493C" w:rsidRDefault="00B0493C" w:rsidP="00B0493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Defina  cada uno de los siguientes conceptos, y explique cómo contribuyen a prevenir el Bull ying:</w:t>
      </w:r>
    </w:p>
    <w:p w:rsidR="00B0493C" w:rsidRDefault="00B0493C" w:rsidP="00B0493C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Tolerancia                                                                         </w:t>
      </w:r>
    </w:p>
    <w:p w:rsidR="00B0493C" w:rsidRDefault="00B0493C" w:rsidP="00B0493C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igualdad</w:t>
      </w:r>
    </w:p>
    <w:p w:rsidR="00B0493C" w:rsidRDefault="00B0493C" w:rsidP="00B0493C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respeto</w:t>
      </w:r>
    </w:p>
    <w:p w:rsidR="00B0493C" w:rsidRDefault="00B0493C" w:rsidP="00B0493C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trabajo en equipo</w:t>
      </w:r>
    </w:p>
    <w:p w:rsidR="00B0493C" w:rsidRDefault="00B0493C" w:rsidP="00B0493C">
      <w:pPr>
        <w:pStyle w:val="Prrafodelista"/>
        <w:ind w:left="1557"/>
        <w:jc w:val="both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Explique ¿porque los medios de comunicación influyen positiva o negativamente al prevenir o promover el Bull ying?</w:t>
      </w:r>
    </w:p>
    <w:p w:rsidR="00B0493C" w:rsidRDefault="00B0493C" w:rsidP="00B0493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¿Qué es el Ciberbullying y sus tipos?</w:t>
      </w:r>
      <w:r w:rsidR="004E2F91" w:rsidRPr="004E2F91">
        <w:rPr>
          <w:noProof/>
          <w:lang w:val="es-ES" w:eastAsia="es-ES"/>
        </w:rPr>
        <w:t xml:space="preserve"> </w:t>
      </w:r>
    </w:p>
    <w:p w:rsidR="004E2F91" w:rsidRDefault="004E2F91" w:rsidP="00B0493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6432" behindDoc="0" locked="0" layoutInCell="1" allowOverlap="1" wp14:anchorId="4651F2EC" wp14:editId="50E1264B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870710" cy="1296670"/>
            <wp:effectExtent l="0" t="0" r="0" b="0"/>
            <wp:wrapSquare wrapText="bothSides"/>
            <wp:docPr id="24" name="Imagen 24" descr="C:\Users\Blanca\Pictures\PLE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Blanca\Pictures\PLEIT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93C">
        <w:rPr>
          <w:rFonts w:ascii="Arial" w:hAnsi="Arial" w:cs="Arial"/>
          <w:sz w:val="20"/>
          <w:szCs w:val="20"/>
        </w:rPr>
        <w:t>¿Porque el Ciberbullying se le considera de serias consecuencias?</w:t>
      </w:r>
    </w:p>
    <w:p w:rsidR="00B0493C" w:rsidRPr="004E2F91" w:rsidRDefault="004E2F91" w:rsidP="004E2F91">
      <w:r>
        <w:rPr>
          <w:noProof/>
          <w:lang w:eastAsia="es-MX"/>
        </w:rPr>
        <w:drawing>
          <wp:anchor distT="0" distB="0" distL="114300" distR="114300" simplePos="0" relativeHeight="251667456" behindDoc="0" locked="0" layoutInCell="1" allowOverlap="1" wp14:anchorId="21E189C2" wp14:editId="646E95E4">
            <wp:simplePos x="3667760" y="7984490"/>
            <wp:positionH relativeFrom="margin">
              <wp:posOffset>1824414</wp:posOffset>
            </wp:positionH>
            <wp:positionV relativeFrom="margin">
              <wp:align>bottom</wp:align>
            </wp:positionV>
            <wp:extent cx="1381760" cy="1339215"/>
            <wp:effectExtent l="0" t="0" r="8890" b="0"/>
            <wp:wrapSquare wrapText="bothSides"/>
            <wp:docPr id="5" name="Imagen 5" descr="Ilustración de un adolescente llanto delante de su ordenador Foto de archivo - 48026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lustración de un adolescente llanto delante de su ordenador Foto de archivo - 4802625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</w:t>
      </w: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</w:p>
    <w:p w:rsidR="004E2F91" w:rsidRDefault="004E2F91" w:rsidP="00B0493C">
      <w:pPr>
        <w:jc w:val="both"/>
        <w:rPr>
          <w:rFonts w:ascii="Arial" w:hAnsi="Arial" w:cs="Arial"/>
          <w:b/>
          <w:sz w:val="20"/>
          <w:szCs w:val="20"/>
        </w:rPr>
      </w:pPr>
    </w:p>
    <w:p w:rsidR="004E2F91" w:rsidRDefault="004E2F91" w:rsidP="00B0493C">
      <w:pPr>
        <w:jc w:val="both"/>
        <w:rPr>
          <w:rFonts w:ascii="Arial" w:hAnsi="Arial" w:cs="Arial"/>
          <w:b/>
          <w:sz w:val="20"/>
          <w:szCs w:val="20"/>
        </w:rPr>
      </w:pP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lastRenderedPageBreak/>
        <w:t>BIBLIOGRAFIA BASICA</w:t>
      </w:r>
      <w:r>
        <w:rPr>
          <w:rFonts w:ascii="Arial" w:hAnsi="Arial" w:cs="Arial"/>
          <w:sz w:val="20"/>
          <w:szCs w:val="20"/>
        </w:rPr>
        <w:t>: LIBRO DE TEXTO DE “ORIENTACION EDUCATIVA II”  ELIZABETH KAIM LUSCHER. EDITORIAL IURE   EDITORES, SEGUNDA EDICION, Y LIBROS DE PSICOLOGIA GENERAL.</w:t>
      </w:r>
    </w:p>
    <w:p w:rsidR="00B0493C" w:rsidRPr="00774EFA" w:rsidRDefault="00B0493C" w:rsidP="00B0493C">
      <w:pPr>
        <w:jc w:val="both"/>
        <w:rPr>
          <w:rFonts w:ascii="Arial" w:hAnsi="Arial" w:cs="Arial"/>
          <w:sz w:val="20"/>
          <w:szCs w:val="20"/>
        </w:rPr>
      </w:pPr>
    </w:p>
    <w:p w:rsidR="00B0493C" w:rsidRDefault="00B0493C" w:rsidP="00B0493C">
      <w:pPr>
        <w:jc w:val="both"/>
        <w:rPr>
          <w:rFonts w:ascii="Arial" w:hAnsi="Arial" w:cs="Arial"/>
          <w:sz w:val="20"/>
          <w:szCs w:val="20"/>
        </w:rPr>
      </w:pPr>
      <w:r w:rsidRPr="00F56D24">
        <w:rPr>
          <w:rFonts w:ascii="Arial" w:hAnsi="Arial" w:cs="Arial"/>
          <w:b/>
          <w:sz w:val="20"/>
          <w:szCs w:val="20"/>
        </w:rPr>
        <w:t>NOTA:</w:t>
      </w:r>
      <w:r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EVALUACION.   </w:t>
      </w:r>
    </w:p>
    <w:p w:rsidR="00B0493C" w:rsidRPr="00F56D24" w:rsidRDefault="00B0493C" w:rsidP="00B0493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noProof/>
          <w:lang w:val="es-ES" w:eastAsia="es-ES"/>
        </w:rPr>
        <w:t xml:space="preserve">             </w:t>
      </w:r>
      <w:r>
        <w:rPr>
          <w:noProof/>
          <w:lang w:eastAsia="es-MX"/>
        </w:rPr>
        <w:drawing>
          <wp:inline distT="0" distB="0" distL="0" distR="0" wp14:anchorId="2A4FFB73" wp14:editId="596E3E8C">
            <wp:extent cx="3891517" cy="2413591"/>
            <wp:effectExtent l="0" t="0" r="0" b="6350"/>
            <wp:docPr id="12" name="Imagen 12" descr="libros caricatura: Ilustración de un libro de dibujos animados pira en tres versiones diferentes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os caricatura: Ilustración de un libro de dibujos animados pira en tres versiones diferentes. 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571" cy="241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3C" w:rsidRDefault="00B0493C"/>
    <w:sectPr w:rsidR="00B0493C"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DB" w:rsidRDefault="00AB60DB" w:rsidP="004E2F91">
      <w:pPr>
        <w:spacing w:after="0" w:line="240" w:lineRule="auto"/>
      </w:pPr>
      <w:r>
        <w:separator/>
      </w:r>
    </w:p>
  </w:endnote>
  <w:endnote w:type="continuationSeparator" w:id="0">
    <w:p w:rsidR="00AB60DB" w:rsidRDefault="00AB60DB" w:rsidP="004E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9659465"/>
      <w:docPartObj>
        <w:docPartGallery w:val="Page Numbers (Bottom of Page)"/>
        <w:docPartUnique/>
      </w:docPartObj>
    </w:sdtPr>
    <w:sdtEndPr/>
    <w:sdtContent>
      <w:p w:rsidR="004E2F91" w:rsidRDefault="004E2F91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2F91" w:rsidRDefault="004E2F91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46C86" w:rsidRPr="00246C86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4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E2F91" w:rsidRDefault="004E2F91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46C86" w:rsidRPr="00246C86">
                          <w:rPr>
                            <w:noProof/>
                            <w:color w:val="4F81BD" w:themeColor="accent1"/>
                            <w:lang w:val="es-ES"/>
                          </w:rPr>
                          <w:t>4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DB" w:rsidRDefault="00AB60DB" w:rsidP="004E2F91">
      <w:pPr>
        <w:spacing w:after="0" w:line="240" w:lineRule="auto"/>
      </w:pPr>
      <w:r>
        <w:separator/>
      </w:r>
    </w:p>
  </w:footnote>
  <w:footnote w:type="continuationSeparator" w:id="0">
    <w:p w:rsidR="00AB60DB" w:rsidRDefault="00AB60DB" w:rsidP="004E2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202A2"/>
    <w:multiLevelType w:val="hybridMultilevel"/>
    <w:tmpl w:val="39B05F16"/>
    <w:lvl w:ilvl="0" w:tplc="080A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">
    <w:nsid w:val="21C12F9F"/>
    <w:multiLevelType w:val="hybridMultilevel"/>
    <w:tmpl w:val="473C26B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911F0"/>
    <w:multiLevelType w:val="hybridMultilevel"/>
    <w:tmpl w:val="CA40AEA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D12C1"/>
    <w:multiLevelType w:val="hybridMultilevel"/>
    <w:tmpl w:val="743C9A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0253F"/>
    <w:multiLevelType w:val="hybridMultilevel"/>
    <w:tmpl w:val="4E8E03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76E36"/>
    <w:multiLevelType w:val="hybridMultilevel"/>
    <w:tmpl w:val="CFF21D54"/>
    <w:lvl w:ilvl="0" w:tplc="080A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6">
    <w:nsid w:val="5D694A70"/>
    <w:multiLevelType w:val="hybridMultilevel"/>
    <w:tmpl w:val="E594DBA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3C"/>
    <w:rsid w:val="00001486"/>
    <w:rsid w:val="0016329A"/>
    <w:rsid w:val="00246C86"/>
    <w:rsid w:val="004C6E52"/>
    <w:rsid w:val="004E2F91"/>
    <w:rsid w:val="0087052E"/>
    <w:rsid w:val="00AB60DB"/>
    <w:rsid w:val="00B0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92D8CD-1412-4A39-8D6E-032FBFDA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3C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0493C"/>
    <w:pPr>
      <w:spacing w:after="0" w:line="240" w:lineRule="auto"/>
    </w:pPr>
    <w:rPr>
      <w:lang w:val="es-MX"/>
    </w:rPr>
  </w:style>
  <w:style w:type="paragraph" w:styleId="Prrafodelista">
    <w:name w:val="List Paragraph"/>
    <w:basedOn w:val="Normal"/>
    <w:uiPriority w:val="34"/>
    <w:qFormat/>
    <w:rsid w:val="00B0493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93C"/>
    <w:rPr>
      <w:rFonts w:ascii="Tahoma" w:eastAsia="Calibri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4E2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2F91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E2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2F91"/>
    <w:rPr>
      <w:rFonts w:ascii="Calibri" w:eastAsia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2018-01-11T13:48:00Z</dcterms:created>
  <dcterms:modified xsi:type="dcterms:W3CDTF">2018-01-11T13:48:00Z</dcterms:modified>
</cp:coreProperties>
</file>